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3384" w14:textId="2E45545A" w:rsidR="00B42790" w:rsidRDefault="006A0A03" w:rsidP="005742DB">
      <w:pPr>
        <w:jc w:val="center"/>
        <w:rPr>
          <w:rFonts w:ascii="Arial" w:hAnsi="Arial" w:cs="Arial"/>
          <w:b/>
        </w:rPr>
      </w:pPr>
      <w:r>
        <w:rPr>
          <w:rFonts w:ascii="Arial" w:hAnsi="Arial" w:cs="Arial"/>
          <w:b/>
        </w:rPr>
        <w:t xml:space="preserve">March </w:t>
      </w:r>
      <w:r w:rsidR="005742DB" w:rsidRPr="00051223">
        <w:rPr>
          <w:rFonts w:ascii="Arial" w:hAnsi="Arial" w:cs="Arial"/>
          <w:b/>
        </w:rPr>
        <w:t>20</w:t>
      </w:r>
      <w:r w:rsidR="00C9654D">
        <w:rPr>
          <w:rFonts w:ascii="Arial" w:hAnsi="Arial" w:cs="Arial"/>
          <w:b/>
        </w:rPr>
        <w:t>2</w:t>
      </w:r>
      <w:r w:rsidR="00975869">
        <w:rPr>
          <w:rFonts w:ascii="Arial" w:hAnsi="Arial" w:cs="Arial"/>
          <w:b/>
        </w:rPr>
        <w:t>3</w:t>
      </w:r>
    </w:p>
    <w:p w14:paraId="2F1BE75D" w14:textId="77777777" w:rsidR="00C9654D" w:rsidRPr="007F0980" w:rsidRDefault="00C9654D" w:rsidP="00C9654D">
      <w:pPr>
        <w:spacing w:before="100" w:beforeAutospacing="1" w:after="100" w:afterAutospacing="1"/>
      </w:pPr>
      <w:r>
        <w:rPr>
          <w:i/>
          <w:iCs/>
          <w:color w:val="000000"/>
          <w:shd w:val="clear" w:color="auto" w:fill="FFFFFF"/>
        </w:rPr>
        <w:t>Please share with your faculty:</w:t>
      </w:r>
    </w:p>
    <w:p w14:paraId="6355AAAB" w14:textId="70E711E4" w:rsidR="002D260E" w:rsidRDefault="00975869" w:rsidP="004571A4">
      <w:pPr>
        <w:rPr>
          <w:rFonts w:ascii="Arial" w:hAnsi="Arial" w:cs="Arial"/>
          <w:b/>
          <w:bCs/>
        </w:rPr>
      </w:pPr>
      <w:r>
        <w:rPr>
          <w:rFonts w:ascii="Arial" w:hAnsi="Arial" w:cs="Arial"/>
          <w:b/>
          <w:bCs/>
        </w:rPr>
        <w:t>Creating equitable assessment practices</w:t>
      </w:r>
    </w:p>
    <w:p w14:paraId="6BA63FAD" w14:textId="55460F96" w:rsidR="00975869" w:rsidRDefault="00975869" w:rsidP="004571A4">
      <w:pPr>
        <w:rPr>
          <w:rFonts w:ascii="Arial" w:hAnsi="Arial" w:cs="Arial"/>
          <w:b/>
          <w:bCs/>
        </w:rPr>
      </w:pPr>
    </w:p>
    <w:p w14:paraId="7BD0C169" w14:textId="0CCE5E66" w:rsidR="00975869" w:rsidRDefault="00975869" w:rsidP="004571A4">
      <w:pPr>
        <w:rPr>
          <w:rFonts w:ascii="Arial" w:hAnsi="Arial" w:cs="Arial"/>
        </w:rPr>
      </w:pPr>
      <w:r>
        <w:rPr>
          <w:rFonts w:ascii="Arial" w:hAnsi="Arial" w:cs="Arial"/>
        </w:rPr>
        <w:t>Current best practices in education highlight the importance of distinguishing between equality and equity when designing and implementing fair and effective assessment practices.  Equality suggests that each student is provided with the same treatment and resources.  For example, timed, standardized tests provide equal assessment conditions since all students are asked to perform the same task under the same conditions.  While on the surface equal assessment practices such as standardized tests may seem most fair, in reality they do not accommodate for the diversity that exists in classrooms including, differences in cultural and linguistic background</w:t>
      </w:r>
      <w:r w:rsidR="00057806">
        <w:rPr>
          <w:rFonts w:ascii="Arial" w:hAnsi="Arial" w:cs="Arial"/>
        </w:rPr>
        <w:t>s</w:t>
      </w:r>
      <w:r>
        <w:rPr>
          <w:rFonts w:ascii="Arial" w:hAnsi="Arial" w:cs="Arial"/>
        </w:rPr>
        <w:t>, as well as differences in learning needs and styles.  For example, for a student who is just learning English demonstrating his/her knowledge through an essay assignment will be an extra challenge compared to a student whose first langu</w:t>
      </w:r>
      <w:r w:rsidR="00057806">
        <w:rPr>
          <w:rFonts w:ascii="Arial" w:hAnsi="Arial" w:cs="Arial"/>
        </w:rPr>
        <w:t>ag</w:t>
      </w:r>
      <w:r>
        <w:rPr>
          <w:rFonts w:ascii="Arial" w:hAnsi="Arial" w:cs="Arial"/>
        </w:rPr>
        <w:t>e is English.  As another example, for a student with ADHD</w:t>
      </w:r>
      <w:r w:rsidR="00057806">
        <w:rPr>
          <w:rFonts w:ascii="Arial" w:hAnsi="Arial" w:cs="Arial"/>
        </w:rPr>
        <w:t xml:space="preserve"> </w:t>
      </w:r>
      <w:r>
        <w:rPr>
          <w:rFonts w:ascii="Arial" w:hAnsi="Arial" w:cs="Arial"/>
        </w:rPr>
        <w:t xml:space="preserve">concentrating on a timed, multiple-choice assessment will be more challenging than for a student who does not have attention difficulties.  In both of the above examples, the additional challenges faced by these students can interfere with their performance on the assessment, making it harder to gauge their true abilities in the material being assessed.  </w:t>
      </w:r>
    </w:p>
    <w:p w14:paraId="1ED97547" w14:textId="1774E349" w:rsidR="00975869" w:rsidRDefault="00975869" w:rsidP="004571A4">
      <w:pPr>
        <w:rPr>
          <w:rFonts w:ascii="Arial" w:hAnsi="Arial" w:cs="Arial"/>
        </w:rPr>
      </w:pPr>
    </w:p>
    <w:p w14:paraId="54DD1DD3" w14:textId="5D1165EF" w:rsidR="00975869" w:rsidRDefault="00975869" w:rsidP="00975869">
      <w:pPr>
        <w:rPr>
          <w:rFonts w:ascii="Arial" w:hAnsi="Arial" w:cs="Arial"/>
        </w:rPr>
      </w:pPr>
      <w:r>
        <w:rPr>
          <w:rFonts w:ascii="Arial" w:hAnsi="Arial" w:cs="Arial"/>
        </w:rPr>
        <w:t xml:space="preserve">For this reason, it is important to create equitable assessment practices. Unlike equality which strives to provide equal conditions for all, equity means providing </w:t>
      </w:r>
      <w:proofErr w:type="gramStart"/>
      <w:r>
        <w:rPr>
          <w:rFonts w:ascii="Arial" w:hAnsi="Arial" w:cs="Arial"/>
        </w:rPr>
        <w:t>each individual</w:t>
      </w:r>
      <w:proofErr w:type="gramEnd"/>
      <w:r>
        <w:rPr>
          <w:rFonts w:ascii="Arial" w:hAnsi="Arial" w:cs="Arial"/>
        </w:rPr>
        <w:t xml:space="preserve"> with the tools and resources that they need to succeed at a learning task.  In other words, equity entails </w:t>
      </w:r>
      <w:proofErr w:type="gramStart"/>
      <w:r>
        <w:rPr>
          <w:rFonts w:ascii="Arial" w:hAnsi="Arial" w:cs="Arial"/>
        </w:rPr>
        <w:t>taking into account</w:t>
      </w:r>
      <w:proofErr w:type="gramEnd"/>
      <w:r>
        <w:rPr>
          <w:rFonts w:ascii="Arial" w:hAnsi="Arial" w:cs="Arial"/>
        </w:rPr>
        <w:t xml:space="preserve"> a learner’s needs and providing the learner with optimal conditions to succeed and fairly demonstrate their abilities.  For example, for a student with ADHD this may involve providing extra time on a test.  Or, if a student is just learning English </w:t>
      </w:r>
      <w:r w:rsidR="008F2E77">
        <w:rPr>
          <w:rFonts w:ascii="Arial" w:hAnsi="Arial" w:cs="Arial"/>
        </w:rPr>
        <w:t>an equitable strategy would be providing</w:t>
      </w:r>
      <w:r>
        <w:rPr>
          <w:rFonts w:ascii="Arial" w:hAnsi="Arial" w:cs="Arial"/>
        </w:rPr>
        <w:t xml:space="preserve"> </w:t>
      </w:r>
      <w:r w:rsidR="008F2E77">
        <w:rPr>
          <w:rFonts w:ascii="Arial" w:hAnsi="Arial" w:cs="Arial"/>
        </w:rPr>
        <w:t xml:space="preserve">him/her </w:t>
      </w:r>
      <w:r>
        <w:rPr>
          <w:rFonts w:ascii="Arial" w:hAnsi="Arial" w:cs="Arial"/>
        </w:rPr>
        <w:t xml:space="preserve">with supports in their native language to demonstrate their knowledge </w:t>
      </w:r>
      <w:proofErr w:type="gramStart"/>
      <w:r>
        <w:rPr>
          <w:rFonts w:ascii="Arial" w:hAnsi="Arial" w:cs="Arial"/>
        </w:rPr>
        <w:t>in a given</w:t>
      </w:r>
      <w:proofErr w:type="gramEnd"/>
      <w:r>
        <w:rPr>
          <w:rFonts w:ascii="Arial" w:hAnsi="Arial" w:cs="Arial"/>
        </w:rPr>
        <w:t xml:space="preserve"> subject area.  According to the </w:t>
      </w:r>
      <w:hyperlink r:id="rId8" w:history="1">
        <w:r w:rsidRPr="00975869">
          <w:rPr>
            <w:rStyle w:val="Hyperlink"/>
            <w:rFonts w:ascii="Arial" w:hAnsi="Arial" w:cs="Arial"/>
          </w:rPr>
          <w:t>University of Minnesota’s Center for Educational Innovation</w:t>
        </w:r>
      </w:hyperlink>
      <w:r>
        <w:rPr>
          <w:rFonts w:ascii="Arial" w:hAnsi="Arial" w:cs="Arial"/>
        </w:rPr>
        <w:t xml:space="preserve"> there are several ways to make assessments </w:t>
      </w:r>
      <w:r w:rsidR="00057806">
        <w:rPr>
          <w:rFonts w:ascii="Arial" w:hAnsi="Arial" w:cs="Arial"/>
        </w:rPr>
        <w:t>more</w:t>
      </w:r>
      <w:r>
        <w:rPr>
          <w:rFonts w:ascii="Arial" w:hAnsi="Arial" w:cs="Arial"/>
        </w:rPr>
        <w:t xml:space="preserve"> equitable.  </w:t>
      </w:r>
      <w:r w:rsidR="00B82F19">
        <w:rPr>
          <w:rFonts w:ascii="Arial" w:hAnsi="Arial" w:cs="Arial"/>
        </w:rPr>
        <w:t xml:space="preserve">These </w:t>
      </w:r>
      <w:r>
        <w:rPr>
          <w:rFonts w:ascii="Arial" w:hAnsi="Arial" w:cs="Arial"/>
        </w:rPr>
        <w:t>include:</w:t>
      </w:r>
    </w:p>
    <w:p w14:paraId="3D6E7A0A" w14:textId="524CA3AE" w:rsidR="00057806" w:rsidRDefault="00057806" w:rsidP="00975869">
      <w:pPr>
        <w:rPr>
          <w:rFonts w:ascii="Arial" w:hAnsi="Arial" w:cs="Arial"/>
        </w:rPr>
      </w:pPr>
    </w:p>
    <w:p w14:paraId="4186709A" w14:textId="77777777" w:rsidR="00057806" w:rsidRPr="00057806" w:rsidRDefault="00057806" w:rsidP="00057806">
      <w:pPr>
        <w:rPr>
          <w:rFonts w:ascii="Arial" w:hAnsi="Arial" w:cs="Arial"/>
        </w:rPr>
      </w:pPr>
    </w:p>
    <w:p w14:paraId="5E3CC7C7" w14:textId="18B06103" w:rsidR="00975869" w:rsidRDefault="00975869" w:rsidP="00975869">
      <w:pPr>
        <w:pStyle w:val="ListParagraph"/>
        <w:numPr>
          <w:ilvl w:val="0"/>
          <w:numId w:val="6"/>
        </w:numPr>
        <w:ind w:left="1080"/>
        <w:rPr>
          <w:rFonts w:ascii="Arial" w:hAnsi="Arial" w:cs="Arial"/>
        </w:rPr>
      </w:pPr>
      <w:r w:rsidRPr="00975869">
        <w:rPr>
          <w:rFonts w:ascii="Arial" w:hAnsi="Arial" w:cs="Arial"/>
          <w:b/>
          <w:bCs/>
          <w:i/>
          <w:iCs/>
        </w:rPr>
        <w:t>Using multiple assessment types</w:t>
      </w:r>
      <w:r>
        <w:rPr>
          <w:rFonts w:ascii="Arial" w:hAnsi="Arial" w:cs="Arial"/>
        </w:rPr>
        <w:t xml:space="preserve"> – varying assessment methods so that students are not just assessed in one format</w:t>
      </w:r>
    </w:p>
    <w:p w14:paraId="391463C0" w14:textId="07EFDBC3" w:rsidR="00975869" w:rsidRDefault="00975869" w:rsidP="00975869">
      <w:pPr>
        <w:pStyle w:val="ListParagraph"/>
        <w:numPr>
          <w:ilvl w:val="0"/>
          <w:numId w:val="6"/>
        </w:numPr>
        <w:ind w:left="1080"/>
        <w:rPr>
          <w:rFonts w:ascii="Arial" w:hAnsi="Arial" w:cs="Arial"/>
        </w:rPr>
      </w:pPr>
      <w:r w:rsidRPr="00975869">
        <w:rPr>
          <w:rFonts w:ascii="Arial" w:hAnsi="Arial" w:cs="Arial"/>
          <w:b/>
          <w:bCs/>
          <w:i/>
          <w:iCs/>
        </w:rPr>
        <w:lastRenderedPageBreak/>
        <w:t>Providing reasonable accommodations and deadline expectations</w:t>
      </w:r>
      <w:r>
        <w:rPr>
          <w:rFonts w:ascii="Arial" w:hAnsi="Arial" w:cs="Arial"/>
        </w:rPr>
        <w:t xml:space="preserve"> – providing students with extra time when needed, making tests untimed, creating open book or open note assessments</w:t>
      </w:r>
    </w:p>
    <w:p w14:paraId="2EB7D1F6" w14:textId="415705A5" w:rsidR="00975869" w:rsidRDefault="00975869" w:rsidP="00975869">
      <w:pPr>
        <w:pStyle w:val="ListParagraph"/>
        <w:numPr>
          <w:ilvl w:val="0"/>
          <w:numId w:val="6"/>
        </w:numPr>
        <w:ind w:left="1080"/>
        <w:rPr>
          <w:rFonts w:ascii="Arial" w:hAnsi="Arial" w:cs="Arial"/>
        </w:rPr>
      </w:pPr>
      <w:r w:rsidRPr="00975869">
        <w:rPr>
          <w:rFonts w:ascii="Arial" w:hAnsi="Arial" w:cs="Arial"/>
          <w:b/>
          <w:bCs/>
          <w:i/>
          <w:iCs/>
        </w:rPr>
        <w:t>Provide options/choices for students to demonstrate their knowledge</w:t>
      </w:r>
      <w:r>
        <w:rPr>
          <w:rFonts w:ascii="Arial" w:hAnsi="Arial" w:cs="Arial"/>
        </w:rPr>
        <w:t xml:space="preserve"> – allowing students to choose </w:t>
      </w:r>
      <w:r w:rsidR="00057806">
        <w:rPr>
          <w:rFonts w:ascii="Arial" w:hAnsi="Arial" w:cs="Arial"/>
        </w:rPr>
        <w:t>among</w:t>
      </w:r>
      <w:r>
        <w:rPr>
          <w:rFonts w:ascii="Arial" w:hAnsi="Arial" w:cs="Arial"/>
        </w:rPr>
        <w:t xml:space="preserve"> writing a paper, doing a project, making a presentation, or a </w:t>
      </w:r>
      <w:proofErr w:type="gramStart"/>
      <w:r>
        <w:rPr>
          <w:rFonts w:ascii="Arial" w:hAnsi="Arial" w:cs="Arial"/>
        </w:rPr>
        <w:t>video</w:t>
      </w:r>
      <w:proofErr w:type="gramEnd"/>
    </w:p>
    <w:p w14:paraId="7A8A901F" w14:textId="64501DFD" w:rsidR="00975869" w:rsidRDefault="00975869" w:rsidP="00975869">
      <w:pPr>
        <w:pStyle w:val="ListParagraph"/>
        <w:numPr>
          <w:ilvl w:val="0"/>
          <w:numId w:val="6"/>
        </w:numPr>
        <w:ind w:left="1080"/>
        <w:rPr>
          <w:rFonts w:ascii="Arial" w:hAnsi="Arial" w:cs="Arial"/>
        </w:rPr>
      </w:pPr>
      <w:r w:rsidRPr="00975869">
        <w:rPr>
          <w:rFonts w:ascii="Arial" w:hAnsi="Arial" w:cs="Arial"/>
          <w:b/>
          <w:bCs/>
          <w:i/>
          <w:iCs/>
        </w:rPr>
        <w:t>Ensuring materials are accessible</w:t>
      </w:r>
      <w:r>
        <w:rPr>
          <w:rFonts w:ascii="Arial" w:hAnsi="Arial" w:cs="Arial"/>
        </w:rPr>
        <w:t xml:space="preserve"> –providing technology such as computers or </w:t>
      </w:r>
      <w:proofErr w:type="spellStart"/>
      <w:r>
        <w:rPr>
          <w:rFonts w:ascii="Arial" w:hAnsi="Arial" w:cs="Arial"/>
        </w:rPr>
        <w:t>Ipads</w:t>
      </w:r>
      <w:proofErr w:type="spellEnd"/>
      <w:r>
        <w:rPr>
          <w:rFonts w:ascii="Arial" w:hAnsi="Arial" w:cs="Arial"/>
        </w:rPr>
        <w:t xml:space="preserve"> to those who may not have access to the same technology at </w:t>
      </w:r>
      <w:proofErr w:type="gramStart"/>
      <w:r>
        <w:rPr>
          <w:rFonts w:ascii="Arial" w:hAnsi="Arial" w:cs="Arial"/>
        </w:rPr>
        <w:t>home</w:t>
      </w:r>
      <w:proofErr w:type="gramEnd"/>
    </w:p>
    <w:p w14:paraId="52F9105F" w14:textId="544795B4" w:rsidR="00975869" w:rsidRDefault="00975869" w:rsidP="00975869">
      <w:pPr>
        <w:pStyle w:val="ListParagraph"/>
        <w:numPr>
          <w:ilvl w:val="0"/>
          <w:numId w:val="6"/>
        </w:numPr>
        <w:ind w:left="1080"/>
        <w:rPr>
          <w:rFonts w:ascii="Arial" w:hAnsi="Arial" w:cs="Arial"/>
        </w:rPr>
      </w:pPr>
      <w:r w:rsidRPr="00975869">
        <w:rPr>
          <w:rFonts w:ascii="Arial" w:hAnsi="Arial" w:cs="Arial"/>
          <w:b/>
          <w:bCs/>
          <w:i/>
          <w:iCs/>
        </w:rPr>
        <w:t>Using clear language understood by all</w:t>
      </w:r>
      <w:r w:rsidRPr="00975869">
        <w:rPr>
          <w:rFonts w:ascii="Arial" w:hAnsi="Arial" w:cs="Arial"/>
        </w:rPr>
        <w:t xml:space="preserve"> – making sure</w:t>
      </w:r>
      <w:r>
        <w:rPr>
          <w:rFonts w:ascii="Arial" w:hAnsi="Arial" w:cs="Arial"/>
        </w:rPr>
        <w:t xml:space="preserve"> assignment d</w:t>
      </w:r>
      <w:r w:rsidR="00057806">
        <w:rPr>
          <w:rFonts w:ascii="Arial" w:hAnsi="Arial" w:cs="Arial"/>
        </w:rPr>
        <w:t>irections</w:t>
      </w:r>
      <w:r>
        <w:rPr>
          <w:rFonts w:ascii="Arial" w:hAnsi="Arial" w:cs="Arial"/>
        </w:rPr>
        <w:t xml:space="preserve"> are clear and do not contain references that would be difficult for non-language learners to </w:t>
      </w:r>
      <w:proofErr w:type="gramStart"/>
      <w:r>
        <w:rPr>
          <w:rFonts w:ascii="Arial" w:hAnsi="Arial" w:cs="Arial"/>
        </w:rPr>
        <w:t>understand</w:t>
      </w:r>
      <w:proofErr w:type="gramEnd"/>
    </w:p>
    <w:p w14:paraId="27733025" w14:textId="2A195D6D" w:rsidR="00975869" w:rsidRPr="00975869" w:rsidRDefault="00975869" w:rsidP="00975869">
      <w:pPr>
        <w:pStyle w:val="ListParagraph"/>
        <w:numPr>
          <w:ilvl w:val="0"/>
          <w:numId w:val="6"/>
        </w:numPr>
        <w:ind w:left="1080"/>
        <w:rPr>
          <w:rFonts w:ascii="Arial" w:hAnsi="Arial" w:cs="Arial"/>
        </w:rPr>
      </w:pPr>
      <w:r w:rsidRPr="00975869">
        <w:rPr>
          <w:rFonts w:ascii="Arial" w:hAnsi="Arial" w:cs="Arial"/>
          <w:b/>
          <w:bCs/>
          <w:i/>
          <w:iCs/>
        </w:rPr>
        <w:t>Be specific and transparent about student expectations</w:t>
      </w:r>
      <w:r>
        <w:rPr>
          <w:rFonts w:ascii="Arial" w:hAnsi="Arial" w:cs="Arial"/>
        </w:rPr>
        <w:t xml:space="preserve"> – mak</w:t>
      </w:r>
      <w:r w:rsidR="00057806">
        <w:rPr>
          <w:rFonts w:ascii="Arial" w:hAnsi="Arial" w:cs="Arial"/>
        </w:rPr>
        <w:t>ing</w:t>
      </w:r>
      <w:r>
        <w:rPr>
          <w:rFonts w:ascii="Arial" w:hAnsi="Arial" w:cs="Arial"/>
        </w:rPr>
        <w:t xml:space="preserve"> learning goals, objectives and criteria for performance</w:t>
      </w:r>
      <w:r w:rsidR="00057806">
        <w:rPr>
          <w:rFonts w:ascii="Arial" w:hAnsi="Arial" w:cs="Arial"/>
        </w:rPr>
        <w:t xml:space="preserve"> </w:t>
      </w:r>
      <w:proofErr w:type="gramStart"/>
      <w:r w:rsidR="00057806">
        <w:rPr>
          <w:rFonts w:ascii="Arial" w:hAnsi="Arial" w:cs="Arial"/>
        </w:rPr>
        <w:t>transparent</w:t>
      </w:r>
      <w:proofErr w:type="gramEnd"/>
    </w:p>
    <w:p w14:paraId="3D1D87CA" w14:textId="0658D357" w:rsidR="00975869" w:rsidRPr="00975869" w:rsidRDefault="00975869" w:rsidP="00975869">
      <w:pPr>
        <w:pStyle w:val="ListParagraph"/>
        <w:numPr>
          <w:ilvl w:val="0"/>
          <w:numId w:val="6"/>
        </w:numPr>
        <w:ind w:left="1080"/>
        <w:rPr>
          <w:rFonts w:ascii="Arial" w:hAnsi="Arial" w:cs="Arial"/>
        </w:rPr>
      </w:pPr>
      <w:r w:rsidRPr="00975869">
        <w:rPr>
          <w:rFonts w:ascii="Arial" w:hAnsi="Arial" w:cs="Arial"/>
          <w:b/>
          <w:bCs/>
          <w:i/>
          <w:iCs/>
        </w:rPr>
        <w:t>Counter any implicit biases when creating and grading assessments</w:t>
      </w:r>
      <w:r>
        <w:rPr>
          <w:rFonts w:ascii="Arial" w:hAnsi="Arial" w:cs="Arial"/>
        </w:rPr>
        <w:t xml:space="preserve"> – includ</w:t>
      </w:r>
      <w:r w:rsidR="00057806">
        <w:rPr>
          <w:rFonts w:ascii="Arial" w:hAnsi="Arial" w:cs="Arial"/>
        </w:rPr>
        <w:t>ing</w:t>
      </w:r>
      <w:r>
        <w:rPr>
          <w:rFonts w:ascii="Arial" w:hAnsi="Arial" w:cs="Arial"/>
        </w:rPr>
        <w:t xml:space="preserve"> diverse representations of people and topics, us</w:t>
      </w:r>
      <w:r w:rsidR="00057806">
        <w:rPr>
          <w:rFonts w:ascii="Arial" w:hAnsi="Arial" w:cs="Arial"/>
        </w:rPr>
        <w:t xml:space="preserve">ing </w:t>
      </w:r>
      <w:r>
        <w:rPr>
          <w:rFonts w:ascii="Arial" w:hAnsi="Arial" w:cs="Arial"/>
        </w:rPr>
        <w:t>grading rubrics, and grad</w:t>
      </w:r>
      <w:r w:rsidR="00057806">
        <w:rPr>
          <w:rFonts w:ascii="Arial" w:hAnsi="Arial" w:cs="Arial"/>
        </w:rPr>
        <w:t>ing</w:t>
      </w:r>
      <w:r>
        <w:rPr>
          <w:rFonts w:ascii="Arial" w:hAnsi="Arial" w:cs="Arial"/>
        </w:rPr>
        <w:t xml:space="preserve"> work by removing students</w:t>
      </w:r>
      <w:r w:rsidR="00057806">
        <w:rPr>
          <w:rFonts w:ascii="Arial" w:hAnsi="Arial" w:cs="Arial"/>
        </w:rPr>
        <w:t xml:space="preserve">’ </w:t>
      </w:r>
      <w:proofErr w:type="gramStart"/>
      <w:r>
        <w:rPr>
          <w:rFonts w:ascii="Arial" w:hAnsi="Arial" w:cs="Arial"/>
        </w:rPr>
        <w:t>names</w:t>
      </w:r>
      <w:proofErr w:type="gramEnd"/>
    </w:p>
    <w:p w14:paraId="0106E483" w14:textId="77777777" w:rsidR="00975869" w:rsidRDefault="00975869" w:rsidP="00975869">
      <w:pPr>
        <w:rPr>
          <w:rFonts w:ascii="Arial" w:hAnsi="Arial" w:cs="Arial"/>
          <w:b/>
          <w:bCs/>
        </w:rPr>
      </w:pPr>
    </w:p>
    <w:p w14:paraId="7E465C46" w14:textId="77777777" w:rsidR="008874DD" w:rsidRDefault="008874DD" w:rsidP="00AC74AD">
      <w:pPr>
        <w:rPr>
          <w:rFonts w:ascii="Arial" w:hAnsi="Arial" w:cs="Arial"/>
          <w:b/>
          <w:bCs/>
        </w:rPr>
      </w:pPr>
    </w:p>
    <w:p w14:paraId="3CDBA062" w14:textId="3BFB017F" w:rsidR="002D260E" w:rsidRPr="00975869" w:rsidRDefault="008C4A2C" w:rsidP="004571A4">
      <w:pPr>
        <w:rPr>
          <w:rFonts w:ascii="Arial" w:hAnsi="Arial" w:cs="Arial"/>
          <w:i/>
          <w:iCs/>
        </w:rPr>
      </w:pPr>
      <w:r>
        <w:rPr>
          <w:rFonts w:ascii="Arial" w:hAnsi="Arial" w:cs="Arial"/>
          <w:b/>
          <w:bCs/>
        </w:rPr>
        <w:t xml:space="preserve">Check out!  </w:t>
      </w:r>
      <w:proofErr w:type="spellStart"/>
      <w:r w:rsidR="00975869" w:rsidRPr="00975869">
        <w:rPr>
          <w:rFonts w:ascii="Arial" w:hAnsi="Arial" w:cs="Arial"/>
        </w:rPr>
        <w:t>Soisson</w:t>
      </w:r>
      <w:proofErr w:type="spellEnd"/>
      <w:r w:rsidR="00975869">
        <w:rPr>
          <w:rFonts w:ascii="Arial" w:hAnsi="Arial" w:cs="Arial"/>
        </w:rPr>
        <w:t xml:space="preserve">, A. (2023).  Resilient and equitable teaching and assessment require a paradigm shift. </w:t>
      </w:r>
      <w:r w:rsidR="00975869">
        <w:rPr>
          <w:rFonts w:ascii="Arial" w:hAnsi="Arial" w:cs="Arial"/>
          <w:i/>
          <w:iCs/>
        </w:rPr>
        <w:t xml:space="preserve">Faculty Focus.  </w:t>
      </w:r>
      <w:r w:rsidR="00975869">
        <w:rPr>
          <w:rFonts w:ascii="Arial" w:hAnsi="Arial" w:cs="Arial"/>
        </w:rPr>
        <w:t>Retrieved February 7, 2023</w:t>
      </w:r>
      <w:r w:rsidR="00057806">
        <w:rPr>
          <w:rFonts w:ascii="Arial" w:hAnsi="Arial" w:cs="Arial"/>
        </w:rPr>
        <w:t xml:space="preserve">, from </w:t>
      </w:r>
      <w:proofErr w:type="gramStart"/>
      <w:r w:rsidR="00057806" w:rsidRPr="00057806">
        <w:rPr>
          <w:rFonts w:ascii="Arial" w:hAnsi="Arial" w:cs="Arial"/>
        </w:rPr>
        <w:t>https://www.facultyfocus.com/articles/educational-assessment/resilient-and-equitable-teaching-and-assessment-require-a-paradigm-shift/</w:t>
      </w:r>
      <w:proofErr w:type="gramEnd"/>
      <w:r w:rsidR="00975869">
        <w:rPr>
          <w:rFonts w:ascii="Arial" w:hAnsi="Arial" w:cs="Arial"/>
          <w:i/>
          <w:iCs/>
        </w:rPr>
        <w:t xml:space="preserve">  </w:t>
      </w:r>
    </w:p>
    <w:p w14:paraId="537C401A" w14:textId="68592A81" w:rsidR="008C4A2C" w:rsidRDefault="008C4A2C" w:rsidP="004571A4">
      <w:pPr>
        <w:rPr>
          <w:rFonts w:ascii="Arial" w:hAnsi="Arial" w:cs="Arial"/>
        </w:rPr>
      </w:pPr>
    </w:p>
    <w:p w14:paraId="44EE25E6" w14:textId="2F66AF83" w:rsidR="008C4A2C" w:rsidRPr="00A12967" w:rsidRDefault="008C4A2C" w:rsidP="008C4A2C">
      <w:pPr>
        <w:rPr>
          <w:rFonts w:ascii="Arial" w:hAnsi="Arial" w:cs="Arial"/>
        </w:rPr>
      </w:pPr>
      <w:r>
        <w:rPr>
          <w:rFonts w:ascii="Arial" w:hAnsi="Arial" w:cs="Arial"/>
          <w:b/>
          <w:bCs/>
        </w:rPr>
        <w:t xml:space="preserve">Please </w:t>
      </w:r>
      <w:r w:rsidRPr="00CC7692">
        <w:rPr>
          <w:rFonts w:ascii="Arial" w:hAnsi="Arial" w:cs="Arial"/>
          <w:b/>
          <w:bCs/>
        </w:rPr>
        <w:t>share examples</w:t>
      </w:r>
      <w:r w:rsidRPr="00CC7692">
        <w:rPr>
          <w:rFonts w:ascii="Arial" w:hAnsi="Arial" w:cs="Arial"/>
        </w:rPr>
        <w:t xml:space="preserve"> of how your program </w:t>
      </w:r>
      <w:r w:rsidR="00975869">
        <w:rPr>
          <w:rFonts w:ascii="Arial" w:hAnsi="Arial" w:cs="Arial"/>
        </w:rPr>
        <w:t xml:space="preserve">creates equitable assessment practices and I will feature those examples on </w:t>
      </w:r>
      <w:hyperlink r:id="rId9" w:history="1">
        <w:r w:rsidRPr="00A12967">
          <w:rPr>
            <w:rStyle w:val="Hyperlink"/>
            <w:rFonts w:ascii="Arial" w:hAnsi="Arial" w:cs="Arial"/>
          </w:rPr>
          <w:t>YU’s Learning Assessment Website</w:t>
        </w:r>
      </w:hyperlink>
      <w:r w:rsidRPr="00A12967">
        <w:rPr>
          <w:rFonts w:ascii="Arial" w:hAnsi="Arial" w:cs="Arial"/>
        </w:rPr>
        <w:t xml:space="preserve">. </w:t>
      </w:r>
    </w:p>
    <w:p w14:paraId="2CB0357A" w14:textId="7F004D80" w:rsidR="004571A4" w:rsidRPr="004571A4" w:rsidRDefault="004571A4" w:rsidP="004571A4">
      <w:pPr>
        <w:rPr>
          <w:rFonts w:ascii="Arial" w:hAnsi="Arial" w:cs="Arial"/>
        </w:rPr>
      </w:pPr>
    </w:p>
    <w:p w14:paraId="3969D742" w14:textId="403950D1" w:rsidR="000C1B23" w:rsidRDefault="000C1B23" w:rsidP="000C1B23">
      <w:pPr>
        <w:rPr>
          <w:bCs/>
          <w:iCs/>
        </w:rPr>
      </w:pPr>
      <w:r>
        <w:rPr>
          <w:rFonts w:ascii="Arial" w:hAnsi="Arial" w:cs="Arial"/>
          <w:b/>
          <w:bCs/>
        </w:rPr>
        <w:t xml:space="preserve">Important reminder:  </w:t>
      </w:r>
      <w:r>
        <w:rPr>
          <w:bCs/>
        </w:rPr>
        <w:t>If you have not already done so, please email me your Fall 202</w:t>
      </w:r>
      <w:r w:rsidR="00975869">
        <w:rPr>
          <w:bCs/>
        </w:rPr>
        <w:t>2</w:t>
      </w:r>
      <w:r>
        <w:rPr>
          <w:bCs/>
        </w:rPr>
        <w:t xml:space="preserve"> program assessment repor</w:t>
      </w:r>
      <w:r w:rsidR="002D260E">
        <w:rPr>
          <w:bCs/>
        </w:rPr>
        <w:t xml:space="preserve">t, and </w:t>
      </w:r>
      <w:r w:rsidR="007A4040">
        <w:rPr>
          <w:bCs/>
        </w:rPr>
        <w:t xml:space="preserve">please </w:t>
      </w:r>
      <w:r w:rsidR="002D260E">
        <w:rPr>
          <w:bCs/>
        </w:rPr>
        <w:t>contact me with any questions about your Spring 202</w:t>
      </w:r>
      <w:r w:rsidR="00975869">
        <w:rPr>
          <w:bCs/>
        </w:rPr>
        <w:t>3</w:t>
      </w:r>
      <w:r w:rsidR="002D260E">
        <w:rPr>
          <w:bCs/>
        </w:rPr>
        <w:t xml:space="preserve"> assessment report.</w:t>
      </w:r>
    </w:p>
    <w:p w14:paraId="49AA32F1" w14:textId="217122BE" w:rsidR="004571A4" w:rsidRDefault="004571A4" w:rsidP="004571A4">
      <w:pPr>
        <w:rPr>
          <w:rFonts w:ascii="Arial" w:hAnsi="Arial" w:cs="Arial"/>
          <w:b/>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02E73F5C" w14:textId="56C1FC73" w:rsidR="00057806" w:rsidRPr="00975869" w:rsidRDefault="00057806" w:rsidP="00057806">
      <w:pPr>
        <w:pStyle w:val="Footer"/>
        <w:tabs>
          <w:tab w:val="clear" w:pos="4320"/>
          <w:tab w:val="clear" w:pos="8640"/>
          <w:tab w:val="center" w:pos="4680"/>
          <w:tab w:val="right" w:pos="9360"/>
        </w:tabs>
        <w:rPr>
          <w:rFonts w:ascii="Arial" w:hAnsi="Arial"/>
          <w:bCs/>
        </w:rPr>
      </w:pPr>
    </w:p>
    <w:p w14:paraId="435E1A4B" w14:textId="108C7CE5" w:rsidR="004571A4" w:rsidRPr="00EE4D0C" w:rsidRDefault="004571A4" w:rsidP="00EE4D0C">
      <w:pPr>
        <w:rPr>
          <w:rFonts w:ascii="Arial" w:hAnsi="Arial" w:cs="Arial"/>
        </w:rPr>
      </w:pPr>
    </w:p>
    <w:sectPr w:rsidR="004571A4" w:rsidRPr="00EE4D0C" w:rsidSect="009C65C2">
      <w:headerReference w:type="default" r:id="rId10"/>
      <w:footerReference w:type="default" r:id="rId11"/>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B1AC" w14:textId="77777777" w:rsidR="00E65A61" w:rsidRDefault="00E65A61" w:rsidP="0003540F">
      <w:r>
        <w:separator/>
      </w:r>
    </w:p>
  </w:endnote>
  <w:endnote w:type="continuationSeparator" w:id="0">
    <w:p w14:paraId="045EC292" w14:textId="77777777" w:rsidR="00E65A61" w:rsidRDefault="00E65A61"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CA71" w14:textId="0DD5F622" w:rsidR="00057806" w:rsidRPr="00975869" w:rsidRDefault="00057806" w:rsidP="00057806">
    <w:pPr>
      <w:pStyle w:val="Footer"/>
      <w:tabs>
        <w:tab w:val="clear" w:pos="4320"/>
        <w:tab w:val="clear" w:pos="8640"/>
        <w:tab w:val="center" w:pos="4680"/>
        <w:tab w:val="right" w:pos="9360"/>
      </w:tabs>
      <w:rPr>
        <w:rFonts w:ascii="Arial" w:hAnsi="Arial"/>
        <w:bCs/>
      </w:rPr>
    </w:pPr>
  </w:p>
  <w:p w14:paraId="73CE8B91" w14:textId="30388230" w:rsidR="00B85973" w:rsidRPr="00975869" w:rsidRDefault="009C65C2" w:rsidP="00975869">
    <w:pPr>
      <w:pStyle w:val="Footer"/>
      <w:tabs>
        <w:tab w:val="clear" w:pos="4320"/>
        <w:tab w:val="clear" w:pos="8640"/>
        <w:tab w:val="center" w:pos="4680"/>
        <w:tab w:val="right" w:pos="9360"/>
      </w:tabs>
      <w:rPr>
        <w:rFonts w:ascii="Arial" w:hAnsi="Arial"/>
        <w:bCs/>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5CE0A" w14:textId="77777777" w:rsidR="00E65A61" w:rsidRDefault="00E65A61" w:rsidP="0003540F">
      <w:r>
        <w:separator/>
      </w:r>
    </w:p>
  </w:footnote>
  <w:footnote w:type="continuationSeparator" w:id="0">
    <w:p w14:paraId="75E47AEA" w14:textId="77777777" w:rsidR="00E65A61" w:rsidRDefault="00E65A61"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51E"/>
    <w:multiLevelType w:val="hybridMultilevel"/>
    <w:tmpl w:val="32C05CAC"/>
    <w:lvl w:ilvl="0" w:tplc="C6B8FEC0">
      <w:start w:val="1"/>
      <w:numFmt w:val="bullet"/>
      <w:lvlText w:val="◦"/>
      <w:lvlJc w:val="left"/>
      <w:pPr>
        <w:tabs>
          <w:tab w:val="num" w:pos="720"/>
        </w:tabs>
        <w:ind w:left="720" w:hanging="360"/>
      </w:pPr>
      <w:rPr>
        <w:rFonts w:ascii="Verdana" w:hAnsi="Verdana" w:hint="default"/>
      </w:rPr>
    </w:lvl>
    <w:lvl w:ilvl="1" w:tplc="D026DAC6">
      <w:start w:val="1"/>
      <w:numFmt w:val="bullet"/>
      <w:lvlText w:val="◦"/>
      <w:lvlJc w:val="left"/>
      <w:pPr>
        <w:tabs>
          <w:tab w:val="num" w:pos="1440"/>
        </w:tabs>
        <w:ind w:left="1440" w:hanging="360"/>
      </w:pPr>
      <w:rPr>
        <w:rFonts w:ascii="Verdana" w:hAnsi="Verdana" w:hint="default"/>
      </w:rPr>
    </w:lvl>
    <w:lvl w:ilvl="2" w:tplc="72D265DA" w:tentative="1">
      <w:start w:val="1"/>
      <w:numFmt w:val="bullet"/>
      <w:lvlText w:val="◦"/>
      <w:lvlJc w:val="left"/>
      <w:pPr>
        <w:tabs>
          <w:tab w:val="num" w:pos="2160"/>
        </w:tabs>
        <w:ind w:left="2160" w:hanging="360"/>
      </w:pPr>
      <w:rPr>
        <w:rFonts w:ascii="Verdana" w:hAnsi="Verdana" w:hint="default"/>
      </w:rPr>
    </w:lvl>
    <w:lvl w:ilvl="3" w:tplc="DE9A487A" w:tentative="1">
      <w:start w:val="1"/>
      <w:numFmt w:val="bullet"/>
      <w:lvlText w:val="◦"/>
      <w:lvlJc w:val="left"/>
      <w:pPr>
        <w:tabs>
          <w:tab w:val="num" w:pos="2880"/>
        </w:tabs>
        <w:ind w:left="2880" w:hanging="360"/>
      </w:pPr>
      <w:rPr>
        <w:rFonts w:ascii="Verdana" w:hAnsi="Verdana" w:hint="default"/>
      </w:rPr>
    </w:lvl>
    <w:lvl w:ilvl="4" w:tplc="EF78857C" w:tentative="1">
      <w:start w:val="1"/>
      <w:numFmt w:val="bullet"/>
      <w:lvlText w:val="◦"/>
      <w:lvlJc w:val="left"/>
      <w:pPr>
        <w:tabs>
          <w:tab w:val="num" w:pos="3600"/>
        </w:tabs>
        <w:ind w:left="3600" w:hanging="360"/>
      </w:pPr>
      <w:rPr>
        <w:rFonts w:ascii="Verdana" w:hAnsi="Verdana" w:hint="default"/>
      </w:rPr>
    </w:lvl>
    <w:lvl w:ilvl="5" w:tplc="884443A2" w:tentative="1">
      <w:start w:val="1"/>
      <w:numFmt w:val="bullet"/>
      <w:lvlText w:val="◦"/>
      <w:lvlJc w:val="left"/>
      <w:pPr>
        <w:tabs>
          <w:tab w:val="num" w:pos="4320"/>
        </w:tabs>
        <w:ind w:left="4320" w:hanging="360"/>
      </w:pPr>
      <w:rPr>
        <w:rFonts w:ascii="Verdana" w:hAnsi="Verdana" w:hint="default"/>
      </w:rPr>
    </w:lvl>
    <w:lvl w:ilvl="6" w:tplc="F55C6FF0" w:tentative="1">
      <w:start w:val="1"/>
      <w:numFmt w:val="bullet"/>
      <w:lvlText w:val="◦"/>
      <w:lvlJc w:val="left"/>
      <w:pPr>
        <w:tabs>
          <w:tab w:val="num" w:pos="5040"/>
        </w:tabs>
        <w:ind w:left="5040" w:hanging="360"/>
      </w:pPr>
      <w:rPr>
        <w:rFonts w:ascii="Verdana" w:hAnsi="Verdana" w:hint="default"/>
      </w:rPr>
    </w:lvl>
    <w:lvl w:ilvl="7" w:tplc="CD0A95B0" w:tentative="1">
      <w:start w:val="1"/>
      <w:numFmt w:val="bullet"/>
      <w:lvlText w:val="◦"/>
      <w:lvlJc w:val="left"/>
      <w:pPr>
        <w:tabs>
          <w:tab w:val="num" w:pos="5760"/>
        </w:tabs>
        <w:ind w:left="5760" w:hanging="360"/>
      </w:pPr>
      <w:rPr>
        <w:rFonts w:ascii="Verdana" w:hAnsi="Verdana" w:hint="default"/>
      </w:rPr>
    </w:lvl>
    <w:lvl w:ilvl="8" w:tplc="0CE02E44"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25B71C9D"/>
    <w:multiLevelType w:val="hybridMultilevel"/>
    <w:tmpl w:val="455A132C"/>
    <w:lvl w:ilvl="0" w:tplc="EAD2392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25343"/>
    <w:multiLevelType w:val="hybridMultilevel"/>
    <w:tmpl w:val="F4EA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46CA092B"/>
    <w:multiLevelType w:val="hybridMultilevel"/>
    <w:tmpl w:val="DC54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42623"/>
    <w:multiLevelType w:val="hybridMultilevel"/>
    <w:tmpl w:val="8014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2468841">
    <w:abstractNumId w:val="2"/>
  </w:num>
  <w:num w:numId="2" w16cid:durableId="1194923106">
    <w:abstractNumId w:val="5"/>
  </w:num>
  <w:num w:numId="3" w16cid:durableId="1425296516">
    <w:abstractNumId w:val="0"/>
  </w:num>
  <w:num w:numId="4" w16cid:durableId="470560077">
    <w:abstractNumId w:val="6"/>
  </w:num>
  <w:num w:numId="5" w16cid:durableId="1303846414">
    <w:abstractNumId w:val="4"/>
  </w:num>
  <w:num w:numId="6" w16cid:durableId="1833250840">
    <w:abstractNumId w:val="3"/>
  </w:num>
  <w:num w:numId="7" w16cid:durableId="152793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15EC2"/>
    <w:rsid w:val="0003540F"/>
    <w:rsid w:val="00051223"/>
    <w:rsid w:val="00054E1E"/>
    <w:rsid w:val="00057806"/>
    <w:rsid w:val="00060E03"/>
    <w:rsid w:val="000960A6"/>
    <w:rsid w:val="000C1B23"/>
    <w:rsid w:val="000C60E2"/>
    <w:rsid w:val="00194610"/>
    <w:rsid w:val="00240A15"/>
    <w:rsid w:val="00262AF0"/>
    <w:rsid w:val="00271601"/>
    <w:rsid w:val="002C72E9"/>
    <w:rsid w:val="002D260E"/>
    <w:rsid w:val="003036E1"/>
    <w:rsid w:val="003376F7"/>
    <w:rsid w:val="003E79F5"/>
    <w:rsid w:val="004121AB"/>
    <w:rsid w:val="004571A4"/>
    <w:rsid w:val="004A4FD3"/>
    <w:rsid w:val="004A722B"/>
    <w:rsid w:val="0053075E"/>
    <w:rsid w:val="00557074"/>
    <w:rsid w:val="005742DB"/>
    <w:rsid w:val="005769AE"/>
    <w:rsid w:val="00636C83"/>
    <w:rsid w:val="006A0A03"/>
    <w:rsid w:val="006B6DDE"/>
    <w:rsid w:val="006F2F0A"/>
    <w:rsid w:val="00702E7A"/>
    <w:rsid w:val="007A4040"/>
    <w:rsid w:val="007B0F52"/>
    <w:rsid w:val="00853A89"/>
    <w:rsid w:val="00853E38"/>
    <w:rsid w:val="008874DD"/>
    <w:rsid w:val="008C4A2C"/>
    <w:rsid w:val="008E029C"/>
    <w:rsid w:val="008F2E77"/>
    <w:rsid w:val="00900273"/>
    <w:rsid w:val="0091471B"/>
    <w:rsid w:val="00975869"/>
    <w:rsid w:val="009B3041"/>
    <w:rsid w:val="009C65C2"/>
    <w:rsid w:val="009D34A9"/>
    <w:rsid w:val="009D572F"/>
    <w:rsid w:val="009E1A77"/>
    <w:rsid w:val="00A153F2"/>
    <w:rsid w:val="00A72FE6"/>
    <w:rsid w:val="00AA656B"/>
    <w:rsid w:val="00AC74AD"/>
    <w:rsid w:val="00AE3DBE"/>
    <w:rsid w:val="00AF2038"/>
    <w:rsid w:val="00B01569"/>
    <w:rsid w:val="00B2025A"/>
    <w:rsid w:val="00B25E58"/>
    <w:rsid w:val="00B3117A"/>
    <w:rsid w:val="00B42790"/>
    <w:rsid w:val="00B52117"/>
    <w:rsid w:val="00B82F19"/>
    <w:rsid w:val="00B85973"/>
    <w:rsid w:val="00B95614"/>
    <w:rsid w:val="00BE1C0C"/>
    <w:rsid w:val="00C02B2A"/>
    <w:rsid w:val="00C234DD"/>
    <w:rsid w:val="00C770D4"/>
    <w:rsid w:val="00C8017D"/>
    <w:rsid w:val="00C9654D"/>
    <w:rsid w:val="00CB3792"/>
    <w:rsid w:val="00CC7A33"/>
    <w:rsid w:val="00DA2EB0"/>
    <w:rsid w:val="00E16A07"/>
    <w:rsid w:val="00E536DB"/>
    <w:rsid w:val="00E65A61"/>
    <w:rsid w:val="00EC568F"/>
    <w:rsid w:val="00EE2475"/>
    <w:rsid w:val="00EE4503"/>
    <w:rsid w:val="00EE4D0C"/>
    <w:rsid w:val="00EF1A5F"/>
    <w:rsid w:val="00EF4A48"/>
    <w:rsid w:val="00F525D1"/>
    <w:rsid w:val="00F7371B"/>
    <w:rsid w:val="00F7618C"/>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2FE6"/>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8C4A2C"/>
    <w:rPr>
      <w:color w:val="605E5C"/>
      <w:shd w:val="clear" w:color="auto" w:fill="E1DFDD"/>
    </w:rPr>
  </w:style>
  <w:style w:type="character" w:customStyle="1" w:styleId="Heading1Char">
    <w:name w:val="Heading 1 Char"/>
    <w:basedOn w:val="DefaultParagraphFont"/>
    <w:link w:val="Heading1"/>
    <w:uiPriority w:val="9"/>
    <w:rsid w:val="00A72FE6"/>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432827475">
      <w:bodyDiv w:val="1"/>
      <w:marLeft w:val="0"/>
      <w:marRight w:val="0"/>
      <w:marTop w:val="0"/>
      <w:marBottom w:val="0"/>
      <w:divBdr>
        <w:top w:val="none" w:sz="0" w:space="0" w:color="auto"/>
        <w:left w:val="none" w:sz="0" w:space="0" w:color="auto"/>
        <w:bottom w:val="none" w:sz="0" w:space="0" w:color="auto"/>
        <w:right w:val="none" w:sz="0" w:space="0" w:color="auto"/>
      </w:divBdr>
    </w:div>
    <w:div w:id="1298802242">
      <w:bodyDiv w:val="1"/>
      <w:marLeft w:val="0"/>
      <w:marRight w:val="0"/>
      <w:marTop w:val="0"/>
      <w:marBottom w:val="0"/>
      <w:divBdr>
        <w:top w:val="none" w:sz="0" w:space="0" w:color="auto"/>
        <w:left w:val="none" w:sz="0" w:space="0" w:color="auto"/>
        <w:bottom w:val="none" w:sz="0" w:space="0" w:color="auto"/>
        <w:right w:val="none" w:sz="0" w:space="0" w:color="auto"/>
      </w:divBdr>
    </w:div>
    <w:div w:id="1343900851">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1812360129">
      <w:bodyDiv w:val="1"/>
      <w:marLeft w:val="0"/>
      <w:marRight w:val="0"/>
      <w:marTop w:val="0"/>
      <w:marBottom w:val="0"/>
      <w:divBdr>
        <w:top w:val="none" w:sz="0" w:space="0" w:color="auto"/>
        <w:left w:val="none" w:sz="0" w:space="0" w:color="auto"/>
        <w:bottom w:val="none" w:sz="0" w:space="0" w:color="auto"/>
        <w:right w:val="none" w:sz="0" w:space="0" w:color="auto"/>
      </w:divBdr>
      <w:divsChild>
        <w:div w:id="719092302">
          <w:marLeft w:val="1008"/>
          <w:marRight w:val="0"/>
          <w:marTop w:val="110"/>
          <w:marBottom w:val="0"/>
          <w:divBdr>
            <w:top w:val="none" w:sz="0" w:space="0" w:color="auto"/>
            <w:left w:val="none" w:sz="0" w:space="0" w:color="auto"/>
            <w:bottom w:val="none" w:sz="0" w:space="0" w:color="auto"/>
            <w:right w:val="none" w:sz="0" w:space="0" w:color="auto"/>
          </w:divBdr>
        </w:div>
        <w:div w:id="522715881">
          <w:marLeft w:val="1008"/>
          <w:marRight w:val="0"/>
          <w:marTop w:val="110"/>
          <w:marBottom w:val="0"/>
          <w:divBdr>
            <w:top w:val="none" w:sz="0" w:space="0" w:color="auto"/>
            <w:left w:val="none" w:sz="0" w:space="0" w:color="auto"/>
            <w:bottom w:val="none" w:sz="0" w:space="0" w:color="auto"/>
            <w:right w:val="none" w:sz="0" w:space="0" w:color="auto"/>
          </w:divBdr>
        </w:div>
        <w:div w:id="595096820">
          <w:marLeft w:val="1008"/>
          <w:marRight w:val="0"/>
          <w:marTop w:val="110"/>
          <w:marBottom w:val="0"/>
          <w:divBdr>
            <w:top w:val="none" w:sz="0" w:space="0" w:color="auto"/>
            <w:left w:val="none" w:sz="0" w:space="0" w:color="auto"/>
            <w:bottom w:val="none" w:sz="0" w:space="0" w:color="auto"/>
            <w:right w:val="none" w:sz="0" w:space="0" w:color="auto"/>
          </w:divBdr>
        </w:div>
        <w:div w:id="7827664">
          <w:marLeft w:val="1008"/>
          <w:marRight w:val="0"/>
          <w:marTop w:val="110"/>
          <w:marBottom w:val="0"/>
          <w:divBdr>
            <w:top w:val="none" w:sz="0" w:space="0" w:color="auto"/>
            <w:left w:val="none" w:sz="0" w:space="0" w:color="auto"/>
            <w:bottom w:val="none" w:sz="0" w:space="0" w:color="auto"/>
            <w:right w:val="none" w:sz="0" w:space="0" w:color="auto"/>
          </w:divBdr>
        </w:div>
        <w:div w:id="1820265627">
          <w:marLeft w:val="1008"/>
          <w:marRight w:val="0"/>
          <w:marTop w:val="110"/>
          <w:marBottom w:val="0"/>
          <w:divBdr>
            <w:top w:val="none" w:sz="0" w:space="0" w:color="auto"/>
            <w:left w:val="none" w:sz="0" w:space="0" w:color="auto"/>
            <w:bottom w:val="none" w:sz="0" w:space="0" w:color="auto"/>
            <w:right w:val="none" w:sz="0" w:space="0" w:color="auto"/>
          </w:divBdr>
        </w:div>
        <w:div w:id="591083016">
          <w:marLeft w:val="1008"/>
          <w:marRight w:val="0"/>
          <w:marTop w:val="11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i.umn.edu/teaching-resources/assessments/equitable-assess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u.edu/provost/assessmen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17</cp:revision>
  <dcterms:created xsi:type="dcterms:W3CDTF">2019-05-13T16:58:00Z</dcterms:created>
  <dcterms:modified xsi:type="dcterms:W3CDTF">2023-02-07T21:59:00Z</dcterms:modified>
</cp:coreProperties>
</file>