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C76A" w14:textId="77777777" w:rsidR="00051223" w:rsidRDefault="00051223" w:rsidP="00EE2475">
      <w:pPr>
        <w:rPr>
          <w:rFonts w:ascii="Arial" w:hAnsi="Arial" w:cs="Arial"/>
          <w:b/>
        </w:rPr>
      </w:pPr>
    </w:p>
    <w:p w14:paraId="607E3384" w14:textId="1EB43927" w:rsidR="00B42790" w:rsidRDefault="00686234" w:rsidP="005742DB">
      <w:pPr>
        <w:jc w:val="center"/>
        <w:rPr>
          <w:rFonts w:ascii="Arial" w:hAnsi="Arial" w:cs="Arial"/>
          <w:b/>
        </w:rPr>
      </w:pPr>
      <w:r>
        <w:rPr>
          <w:rFonts w:ascii="Arial" w:hAnsi="Arial" w:cs="Arial"/>
          <w:b/>
        </w:rPr>
        <w:t>May</w:t>
      </w:r>
      <w:r w:rsidR="006A0A03">
        <w:rPr>
          <w:rFonts w:ascii="Arial" w:hAnsi="Arial" w:cs="Arial"/>
          <w:b/>
        </w:rPr>
        <w:t xml:space="preserve"> </w:t>
      </w:r>
      <w:r w:rsidR="005742DB" w:rsidRPr="00051223">
        <w:rPr>
          <w:rFonts w:ascii="Arial" w:hAnsi="Arial" w:cs="Arial"/>
          <w:b/>
        </w:rPr>
        <w:t>20</w:t>
      </w:r>
      <w:r w:rsidR="00C9654D">
        <w:rPr>
          <w:rFonts w:ascii="Arial" w:hAnsi="Arial" w:cs="Arial"/>
          <w:b/>
        </w:rPr>
        <w:t>2</w:t>
      </w:r>
      <w:r w:rsidR="002D260E">
        <w:rPr>
          <w:rFonts w:ascii="Arial" w:hAnsi="Arial" w:cs="Arial"/>
          <w:b/>
        </w:rPr>
        <w:t>2</w:t>
      </w:r>
    </w:p>
    <w:p w14:paraId="1B3E39AE" w14:textId="3D378E58" w:rsidR="004571A4" w:rsidRPr="004571A4" w:rsidRDefault="004571A4" w:rsidP="004571A4">
      <w:pPr>
        <w:rPr>
          <w:rFonts w:ascii="Arial" w:hAnsi="Arial" w:cs="Arial"/>
        </w:rPr>
      </w:pPr>
    </w:p>
    <w:p w14:paraId="2F1BE75D" w14:textId="77777777" w:rsidR="00C9654D" w:rsidRPr="007F0980" w:rsidRDefault="00C9654D" w:rsidP="00C9654D">
      <w:pPr>
        <w:spacing w:before="100" w:beforeAutospacing="1" w:after="100" w:afterAutospacing="1"/>
      </w:pPr>
      <w:r>
        <w:rPr>
          <w:i/>
          <w:iCs/>
          <w:color w:val="000000"/>
          <w:shd w:val="clear" w:color="auto" w:fill="FFFFFF"/>
        </w:rPr>
        <w:t>Please share with your faculty:</w:t>
      </w:r>
    </w:p>
    <w:p w14:paraId="70A1102C" w14:textId="04802E50" w:rsidR="00F328FC" w:rsidRDefault="00686234" w:rsidP="004571A4">
      <w:pPr>
        <w:rPr>
          <w:rFonts w:ascii="Arial" w:hAnsi="Arial" w:cs="Arial"/>
          <w:b/>
          <w:bCs/>
        </w:rPr>
      </w:pPr>
      <w:r>
        <w:rPr>
          <w:rFonts w:ascii="Arial" w:hAnsi="Arial" w:cs="Arial"/>
          <w:b/>
          <w:bCs/>
        </w:rPr>
        <w:t>Authentic Assessments</w:t>
      </w:r>
    </w:p>
    <w:p w14:paraId="447D6D5B" w14:textId="77777777" w:rsidR="00686234" w:rsidRDefault="00686234" w:rsidP="004571A4">
      <w:pPr>
        <w:rPr>
          <w:rFonts w:ascii="Arial" w:hAnsi="Arial" w:cs="Arial"/>
          <w:b/>
          <w:bCs/>
        </w:rPr>
      </w:pPr>
    </w:p>
    <w:p w14:paraId="582B1C03" w14:textId="10B86E49" w:rsidR="00F328FC" w:rsidRDefault="00686234" w:rsidP="004571A4">
      <w:pPr>
        <w:rPr>
          <w:rFonts w:ascii="Arial" w:hAnsi="Arial" w:cs="Arial"/>
        </w:rPr>
      </w:pPr>
      <w:r>
        <w:rPr>
          <w:rFonts w:ascii="Arial" w:hAnsi="Arial" w:cs="Arial"/>
        </w:rPr>
        <w:t xml:space="preserve">An authentic assessment requires students to apply what they have learned to in a </w:t>
      </w:r>
      <w:r w:rsidR="009B1F95">
        <w:rPr>
          <w:rFonts w:ascii="Arial" w:hAnsi="Arial" w:cs="Arial"/>
        </w:rPr>
        <w:t>real-world</w:t>
      </w:r>
      <w:r>
        <w:rPr>
          <w:rFonts w:ascii="Arial" w:hAnsi="Arial" w:cs="Arial"/>
        </w:rPr>
        <w:t xml:space="preserve"> context or novel situation</w:t>
      </w:r>
      <w:r w:rsidR="00F81994">
        <w:rPr>
          <w:rFonts w:ascii="Arial" w:hAnsi="Arial" w:cs="Arial"/>
        </w:rPr>
        <w:t xml:space="preserve"> (</w:t>
      </w:r>
      <w:r w:rsidR="00C37B6C" w:rsidRPr="00C37B6C">
        <w:rPr>
          <w:rFonts w:ascii="Arial" w:hAnsi="Arial" w:cs="Arial"/>
        </w:rPr>
        <w:t>Center for Innovative Teaching and Learning</w:t>
      </w:r>
      <w:r w:rsidR="00F81994">
        <w:rPr>
          <w:rFonts w:ascii="Arial" w:hAnsi="Arial" w:cs="Arial"/>
        </w:rPr>
        <w:t xml:space="preserve">, </w:t>
      </w:r>
      <w:r w:rsidR="00C37B6C">
        <w:rPr>
          <w:rFonts w:ascii="Arial" w:hAnsi="Arial" w:cs="Arial"/>
        </w:rPr>
        <w:t xml:space="preserve">Indiana University, </w:t>
      </w:r>
      <w:r w:rsidR="00F81994">
        <w:rPr>
          <w:rFonts w:ascii="Arial" w:hAnsi="Arial" w:cs="Arial"/>
        </w:rPr>
        <w:t>2022)</w:t>
      </w:r>
      <w:r w:rsidR="00CB5A1A">
        <w:rPr>
          <w:rFonts w:ascii="Arial" w:hAnsi="Arial" w:cs="Arial"/>
        </w:rPr>
        <w:t xml:space="preserve">.  More specifically, an authentic assessment requires students to perform a task that is </w:t>
      </w:r>
      <w:proofErr w:type="gramStart"/>
      <w:r w:rsidR="00CB5A1A">
        <w:rPr>
          <w:rFonts w:ascii="Arial" w:hAnsi="Arial" w:cs="Arial"/>
        </w:rPr>
        <w:t>similar to</w:t>
      </w:r>
      <w:proofErr w:type="gramEnd"/>
      <w:r w:rsidR="00A262D0">
        <w:rPr>
          <w:rFonts w:ascii="Arial" w:hAnsi="Arial" w:cs="Arial"/>
        </w:rPr>
        <w:t xml:space="preserve"> one</w:t>
      </w:r>
      <w:r w:rsidR="00CB5A1A">
        <w:rPr>
          <w:rFonts w:ascii="Arial" w:hAnsi="Arial" w:cs="Arial"/>
        </w:rPr>
        <w:t xml:space="preserve"> expected of them in</w:t>
      </w:r>
      <w:r w:rsidR="00A262D0">
        <w:rPr>
          <w:rFonts w:ascii="Arial" w:hAnsi="Arial" w:cs="Arial"/>
        </w:rPr>
        <w:t xml:space="preserve"> a given discipline or field.  </w:t>
      </w:r>
      <w:r w:rsidR="009B1F95">
        <w:rPr>
          <w:rFonts w:ascii="Arial" w:hAnsi="Arial" w:cs="Arial"/>
        </w:rPr>
        <w:t>Unlike traditional tests, which measure lower order cognitive processes such as being able to understand or remember information,</w:t>
      </w:r>
      <w:r w:rsidR="00F81994">
        <w:rPr>
          <w:rFonts w:ascii="Arial" w:hAnsi="Arial" w:cs="Arial"/>
        </w:rPr>
        <w:t xml:space="preserve"> </w:t>
      </w:r>
      <w:r w:rsidR="009B1F95">
        <w:rPr>
          <w:rFonts w:ascii="Arial" w:hAnsi="Arial" w:cs="Arial"/>
        </w:rPr>
        <w:t>a</w:t>
      </w:r>
      <w:r w:rsidR="00F81994">
        <w:rPr>
          <w:rFonts w:ascii="Arial" w:hAnsi="Arial" w:cs="Arial"/>
        </w:rPr>
        <w:t>uthentic assessments directly measure higher-order cognitive processes such as being able to apply, evaluate, or create</w:t>
      </w:r>
      <w:r w:rsidR="009B1F95">
        <w:rPr>
          <w:rFonts w:ascii="Arial" w:hAnsi="Arial" w:cs="Arial"/>
        </w:rPr>
        <w:t xml:space="preserve"> content</w:t>
      </w:r>
      <w:r w:rsidR="00F81994">
        <w:rPr>
          <w:rFonts w:ascii="Arial" w:hAnsi="Arial" w:cs="Arial"/>
        </w:rPr>
        <w:t xml:space="preserve">.  </w:t>
      </w:r>
      <w:r w:rsidR="00CB5A1A">
        <w:rPr>
          <w:rFonts w:ascii="Arial" w:hAnsi="Arial" w:cs="Arial"/>
        </w:rPr>
        <w:t xml:space="preserve">Some examples of authentic assessments </w:t>
      </w:r>
      <w:r w:rsidR="00A262D0">
        <w:rPr>
          <w:rFonts w:ascii="Arial" w:hAnsi="Arial" w:cs="Arial"/>
        </w:rPr>
        <w:t xml:space="preserve">include designing an experiment, writing a research proposal, creating a lesson plan, </w:t>
      </w:r>
      <w:r w:rsidR="00A10538">
        <w:rPr>
          <w:rFonts w:ascii="Arial" w:hAnsi="Arial" w:cs="Arial"/>
        </w:rPr>
        <w:t>analyzing a business case study, creating a portfolio, and conducting and analyzing observations.  Although authentic assessments can take more time for students to perform, and for teachers to grade, they not only directly measure higher order skills, but allow for more creativity on the part the student and the teacher.  This in turn, can be a more motivating learning and assessment experience.  In addition, authentic assessments work best when accompanied by an analytic grading rubric to evaluate students’ performance.  This kind of rubric can make task expectations transparent and objective</w:t>
      </w:r>
      <w:r w:rsidR="00D441FD">
        <w:rPr>
          <w:rFonts w:ascii="Arial" w:hAnsi="Arial" w:cs="Arial"/>
        </w:rPr>
        <w:t xml:space="preserve">.  </w:t>
      </w:r>
    </w:p>
    <w:p w14:paraId="13A70799" w14:textId="77777777" w:rsidR="00686234" w:rsidRPr="00F328FC" w:rsidRDefault="00686234" w:rsidP="004571A4">
      <w:pPr>
        <w:rPr>
          <w:rFonts w:ascii="Arial" w:hAnsi="Arial" w:cs="Arial"/>
        </w:rPr>
      </w:pPr>
    </w:p>
    <w:p w14:paraId="405617D2" w14:textId="50D2CCBB" w:rsidR="00D441FD" w:rsidRPr="00C37B6C" w:rsidRDefault="00D441FD" w:rsidP="004571A4">
      <w:pPr>
        <w:rPr>
          <w:rFonts w:ascii="Arial" w:hAnsi="Arial" w:cs="Arial"/>
        </w:rPr>
      </w:pPr>
      <w:r>
        <w:rPr>
          <w:rFonts w:ascii="Arial" w:hAnsi="Arial" w:cs="Arial"/>
          <w:b/>
          <w:bCs/>
        </w:rPr>
        <w:t xml:space="preserve">Reference:  </w:t>
      </w:r>
      <w:hyperlink r:id="rId8" w:history="1">
        <w:r w:rsidRPr="00E17442">
          <w:rPr>
            <w:rStyle w:val="Hyperlink"/>
            <w:rFonts w:ascii="Arial" w:hAnsi="Arial" w:cs="Arial"/>
          </w:rPr>
          <w:t>Center for Inno</w:t>
        </w:r>
        <w:r w:rsidRPr="00E17442">
          <w:rPr>
            <w:rStyle w:val="Hyperlink"/>
            <w:rFonts w:ascii="Arial" w:hAnsi="Arial" w:cs="Arial"/>
          </w:rPr>
          <w:t>vative Teaching and Learning, Indiana University</w:t>
        </w:r>
        <w:r w:rsidR="00C37B6C">
          <w:rPr>
            <w:rStyle w:val="Hyperlink"/>
            <w:rFonts w:ascii="Arial" w:hAnsi="Arial" w:cs="Arial"/>
          </w:rPr>
          <w:t xml:space="preserve"> (2022)</w:t>
        </w:r>
        <w:r w:rsidRPr="00E17442">
          <w:rPr>
            <w:rStyle w:val="Hyperlink"/>
            <w:rFonts w:ascii="Arial" w:hAnsi="Arial" w:cs="Arial"/>
          </w:rPr>
          <w:t>.</w:t>
        </w:r>
      </w:hyperlink>
      <w:r w:rsidR="00C37B6C">
        <w:rPr>
          <w:rStyle w:val="Hyperlink"/>
          <w:rFonts w:ascii="Arial" w:hAnsi="Arial" w:cs="Arial"/>
        </w:rPr>
        <w:t xml:space="preserve">  </w:t>
      </w:r>
      <w:r w:rsidR="00C37B6C">
        <w:rPr>
          <w:rStyle w:val="Hyperlink"/>
          <w:rFonts w:ascii="Arial" w:hAnsi="Arial" w:cs="Arial"/>
          <w:i/>
          <w:iCs/>
        </w:rPr>
        <w:t>Authentic Assessment.</w:t>
      </w:r>
      <w:r w:rsidR="00C37B6C" w:rsidRPr="00C37B6C">
        <w:t xml:space="preserve"> </w:t>
      </w:r>
      <w:r w:rsidR="00C37B6C" w:rsidRPr="00C37B6C">
        <w:rPr>
          <w:rStyle w:val="Hyperlink"/>
          <w:rFonts w:ascii="Arial" w:hAnsi="Arial" w:cs="Arial"/>
        </w:rPr>
        <w:t>https://citl.indiana.edu/teaching-resources/assessing-student-learning/authentic-assessment/index.html</w:t>
      </w:r>
    </w:p>
    <w:p w14:paraId="4B604BD9" w14:textId="77777777" w:rsidR="00D441FD" w:rsidRDefault="00D441FD" w:rsidP="004571A4">
      <w:pPr>
        <w:rPr>
          <w:rFonts w:ascii="Arial" w:hAnsi="Arial" w:cs="Arial"/>
          <w:b/>
          <w:bCs/>
        </w:rPr>
      </w:pPr>
    </w:p>
    <w:p w14:paraId="3CDBA062" w14:textId="41DCB6DE" w:rsidR="002D260E" w:rsidRPr="002D260E" w:rsidRDefault="008C4A2C" w:rsidP="004571A4">
      <w:pPr>
        <w:rPr>
          <w:rFonts w:ascii="Arial" w:hAnsi="Arial" w:cs="Arial"/>
        </w:rPr>
      </w:pPr>
      <w:r>
        <w:rPr>
          <w:rFonts w:ascii="Arial" w:hAnsi="Arial" w:cs="Arial"/>
          <w:b/>
          <w:bCs/>
        </w:rPr>
        <w:t xml:space="preserve">Check out!  </w:t>
      </w:r>
      <w:hyperlink r:id="rId9" w:history="1">
        <w:r w:rsidR="00D441FD" w:rsidRPr="00D441FD">
          <w:rPr>
            <w:rStyle w:val="Hyperlink"/>
            <w:rFonts w:ascii="Arial" w:hAnsi="Arial" w:cs="Arial"/>
          </w:rPr>
          <w:t xml:space="preserve">Shaw, Adam (2019).  Authentic assessment in the online classroom.  Center for Teaching and Learning, Wiley University.  </w:t>
        </w:r>
      </w:hyperlink>
      <w:r w:rsidR="003248BD">
        <w:rPr>
          <w:rFonts w:ascii="Arial" w:hAnsi="Arial" w:cs="Arial"/>
        </w:rPr>
        <w:t xml:space="preserve"> </w:t>
      </w:r>
    </w:p>
    <w:p w14:paraId="537C401A" w14:textId="68592A81" w:rsidR="008C4A2C" w:rsidRDefault="008C4A2C" w:rsidP="004571A4">
      <w:pPr>
        <w:rPr>
          <w:rFonts w:ascii="Arial" w:hAnsi="Arial" w:cs="Arial"/>
        </w:rPr>
      </w:pPr>
    </w:p>
    <w:p w14:paraId="44EE25E6" w14:textId="3E48E994" w:rsidR="008C4A2C" w:rsidRPr="00A12967" w:rsidRDefault="008C4A2C" w:rsidP="008C4A2C">
      <w:pPr>
        <w:rPr>
          <w:rFonts w:ascii="Arial" w:hAnsi="Arial" w:cs="Arial"/>
        </w:rPr>
      </w:pPr>
      <w:r>
        <w:rPr>
          <w:rFonts w:ascii="Arial" w:hAnsi="Arial" w:cs="Arial"/>
          <w:b/>
          <w:bCs/>
        </w:rPr>
        <w:t xml:space="preserve">Please </w:t>
      </w:r>
      <w:r w:rsidRPr="00CC7692">
        <w:rPr>
          <w:rFonts w:ascii="Arial" w:hAnsi="Arial" w:cs="Arial"/>
          <w:b/>
          <w:bCs/>
        </w:rPr>
        <w:t>share examples</w:t>
      </w:r>
      <w:r w:rsidRPr="00CC7692">
        <w:rPr>
          <w:rFonts w:ascii="Arial" w:hAnsi="Arial" w:cs="Arial"/>
        </w:rPr>
        <w:t xml:space="preserve"> of how your program </w:t>
      </w:r>
      <w:r w:rsidR="003248BD">
        <w:rPr>
          <w:rFonts w:ascii="Arial" w:hAnsi="Arial" w:cs="Arial"/>
        </w:rPr>
        <w:t xml:space="preserve">uses </w:t>
      </w:r>
      <w:r w:rsidR="00E17442">
        <w:rPr>
          <w:rFonts w:ascii="Arial" w:hAnsi="Arial" w:cs="Arial"/>
        </w:rPr>
        <w:t xml:space="preserve">authentic </w:t>
      </w:r>
      <w:r w:rsidR="003248BD">
        <w:rPr>
          <w:rFonts w:ascii="Arial" w:hAnsi="Arial" w:cs="Arial"/>
        </w:rPr>
        <w:t>assessment</w:t>
      </w:r>
      <w:r w:rsidR="00E17442">
        <w:rPr>
          <w:rFonts w:ascii="Arial" w:hAnsi="Arial" w:cs="Arial"/>
        </w:rPr>
        <w:t>s</w:t>
      </w:r>
      <w:r w:rsidR="003248BD">
        <w:rPr>
          <w:rFonts w:ascii="Arial" w:hAnsi="Arial" w:cs="Arial"/>
        </w:rPr>
        <w:t xml:space="preserve"> </w:t>
      </w:r>
      <w:r w:rsidR="007A4040">
        <w:rPr>
          <w:rFonts w:ascii="Arial" w:hAnsi="Arial" w:cs="Arial"/>
        </w:rPr>
        <w:t xml:space="preserve">and I will </w:t>
      </w:r>
      <w:r w:rsidR="002D260E">
        <w:rPr>
          <w:rFonts w:ascii="Arial" w:hAnsi="Arial" w:cs="Arial"/>
        </w:rPr>
        <w:t xml:space="preserve">post those examples on </w:t>
      </w:r>
      <w:hyperlink r:id="rId10" w:history="1">
        <w:r w:rsidRPr="00A12967">
          <w:rPr>
            <w:rStyle w:val="Hyperlink"/>
            <w:rFonts w:ascii="Arial" w:hAnsi="Arial" w:cs="Arial"/>
          </w:rPr>
          <w:t>YU’s Learning Assessment Website</w:t>
        </w:r>
      </w:hyperlink>
      <w:r w:rsidRPr="00A12967">
        <w:rPr>
          <w:rFonts w:ascii="Arial" w:hAnsi="Arial" w:cs="Arial"/>
        </w:rPr>
        <w:t xml:space="preserve">. </w:t>
      </w:r>
    </w:p>
    <w:p w14:paraId="2CB0357A" w14:textId="7F004D80" w:rsidR="004571A4" w:rsidRPr="004571A4" w:rsidRDefault="004571A4" w:rsidP="004571A4">
      <w:pPr>
        <w:rPr>
          <w:rFonts w:ascii="Arial" w:hAnsi="Arial" w:cs="Arial"/>
        </w:rPr>
      </w:pPr>
    </w:p>
    <w:p w14:paraId="3969D742" w14:textId="18CA2C43" w:rsidR="000C1B23" w:rsidRPr="003248BD" w:rsidRDefault="00E17442" w:rsidP="000C1B23">
      <w:pPr>
        <w:rPr>
          <w:iCs/>
        </w:rPr>
      </w:pPr>
      <w:r>
        <w:rPr>
          <w:rFonts w:ascii="Arial" w:hAnsi="Arial" w:cs="Arial"/>
          <w:b/>
          <w:bCs/>
        </w:rPr>
        <w:t xml:space="preserve">Important </w:t>
      </w:r>
      <w:r w:rsidR="003248BD">
        <w:rPr>
          <w:rFonts w:ascii="Arial" w:hAnsi="Arial" w:cs="Arial"/>
          <w:b/>
          <w:bCs/>
        </w:rPr>
        <w:t>R</w:t>
      </w:r>
      <w:r w:rsidR="000C1B23">
        <w:rPr>
          <w:rFonts w:ascii="Arial" w:hAnsi="Arial" w:cs="Arial"/>
          <w:b/>
          <w:bCs/>
        </w:rPr>
        <w:t xml:space="preserve">eminder:  </w:t>
      </w:r>
      <w:r w:rsidR="003248BD">
        <w:rPr>
          <w:rFonts w:ascii="Arial" w:hAnsi="Arial" w:cs="Arial"/>
        </w:rPr>
        <w:t xml:space="preserve">Spring 2022 assessment reports will be due on </w:t>
      </w:r>
      <w:r w:rsidR="003248BD" w:rsidRPr="003248BD">
        <w:rPr>
          <w:rFonts w:ascii="Arial" w:hAnsi="Arial" w:cs="Arial"/>
          <w:b/>
          <w:bCs/>
        </w:rPr>
        <w:t>Monday</w:t>
      </w:r>
      <w:r w:rsidR="00AE41E7">
        <w:rPr>
          <w:rFonts w:ascii="Arial" w:hAnsi="Arial" w:cs="Arial"/>
          <w:b/>
          <w:bCs/>
        </w:rPr>
        <w:t>,</w:t>
      </w:r>
      <w:r w:rsidR="003248BD" w:rsidRPr="003248BD">
        <w:rPr>
          <w:rFonts w:ascii="Arial" w:hAnsi="Arial" w:cs="Arial"/>
          <w:b/>
          <w:bCs/>
        </w:rPr>
        <w:t xml:space="preserve"> June 6</w:t>
      </w:r>
      <w:r w:rsidR="003248BD">
        <w:rPr>
          <w:rFonts w:ascii="Arial" w:hAnsi="Arial" w:cs="Arial"/>
        </w:rPr>
        <w:t>.  Please email me if you have any questions about preparing your reports.</w:t>
      </w:r>
    </w:p>
    <w:p w14:paraId="49AA32F1" w14:textId="217122BE" w:rsidR="004571A4" w:rsidRDefault="004571A4" w:rsidP="004571A4">
      <w:pPr>
        <w:rPr>
          <w:rFonts w:ascii="Arial" w:hAnsi="Arial" w:cs="Arial"/>
          <w:b/>
        </w:rPr>
      </w:pPr>
    </w:p>
    <w:p w14:paraId="2633EB10" w14:textId="30CD8EB1" w:rsidR="004571A4" w:rsidRPr="004571A4" w:rsidRDefault="004571A4" w:rsidP="004571A4">
      <w:pPr>
        <w:rPr>
          <w:rFonts w:ascii="Arial" w:hAnsi="Arial" w:cs="Arial"/>
        </w:rPr>
      </w:pPr>
    </w:p>
    <w:p w14:paraId="58E7F9E3" w14:textId="566A4E48" w:rsidR="004571A4" w:rsidRPr="004571A4" w:rsidRDefault="004571A4" w:rsidP="004571A4">
      <w:pPr>
        <w:rPr>
          <w:rFonts w:ascii="Arial" w:hAnsi="Arial" w:cs="Arial"/>
        </w:rPr>
      </w:pPr>
    </w:p>
    <w:p w14:paraId="474A11AC" w14:textId="7F94D470" w:rsidR="004571A4" w:rsidRPr="004571A4" w:rsidRDefault="004571A4" w:rsidP="004571A4">
      <w:pPr>
        <w:rPr>
          <w:rFonts w:ascii="Arial" w:hAnsi="Arial" w:cs="Arial"/>
        </w:rPr>
      </w:pPr>
    </w:p>
    <w:p w14:paraId="4BC1B1FB" w14:textId="77777777" w:rsidR="004571A4" w:rsidRPr="004571A4" w:rsidRDefault="004571A4" w:rsidP="004571A4">
      <w:pPr>
        <w:rPr>
          <w:rFonts w:ascii="Arial" w:hAnsi="Arial" w:cs="Arial"/>
        </w:rPr>
      </w:pPr>
    </w:p>
    <w:p w14:paraId="435E1A4B" w14:textId="77777777" w:rsidR="004571A4" w:rsidRPr="004571A4" w:rsidRDefault="004571A4" w:rsidP="004571A4">
      <w:pPr>
        <w:rPr>
          <w:rFonts w:ascii="Arial" w:hAnsi="Arial" w:cs="Arial"/>
        </w:rPr>
      </w:pPr>
    </w:p>
    <w:p w14:paraId="2CB16ABE" w14:textId="77777777" w:rsidR="004571A4" w:rsidRPr="004571A4" w:rsidRDefault="004571A4" w:rsidP="004571A4">
      <w:pPr>
        <w:rPr>
          <w:rFonts w:ascii="Arial" w:hAnsi="Arial" w:cs="Arial"/>
        </w:rPr>
      </w:pPr>
    </w:p>
    <w:sectPr w:rsidR="004571A4" w:rsidRPr="004571A4" w:rsidSect="009C65C2">
      <w:headerReference w:type="default" r:id="rId11"/>
      <w:footerReference w:type="default" r:id="rId12"/>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B249" w14:textId="77777777" w:rsidR="00ED5A80" w:rsidRDefault="00ED5A80" w:rsidP="0003540F">
      <w:r>
        <w:separator/>
      </w:r>
    </w:p>
  </w:endnote>
  <w:endnote w:type="continuationSeparator" w:id="0">
    <w:p w14:paraId="57766843" w14:textId="77777777" w:rsidR="00ED5A80" w:rsidRDefault="00ED5A80"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8B91" w14:textId="372E5B2F"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F1174" w14:textId="77777777" w:rsidR="00ED5A80" w:rsidRDefault="00ED5A80" w:rsidP="0003540F">
      <w:r>
        <w:separator/>
      </w:r>
    </w:p>
  </w:footnote>
  <w:footnote w:type="continuationSeparator" w:id="0">
    <w:p w14:paraId="3654EA20" w14:textId="77777777" w:rsidR="00ED5A80" w:rsidRDefault="00ED5A80"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551E"/>
    <w:multiLevelType w:val="hybridMultilevel"/>
    <w:tmpl w:val="32C05CAC"/>
    <w:lvl w:ilvl="0" w:tplc="C6B8FEC0">
      <w:start w:val="1"/>
      <w:numFmt w:val="bullet"/>
      <w:lvlText w:val="◦"/>
      <w:lvlJc w:val="left"/>
      <w:pPr>
        <w:tabs>
          <w:tab w:val="num" w:pos="720"/>
        </w:tabs>
        <w:ind w:left="720" w:hanging="360"/>
      </w:pPr>
      <w:rPr>
        <w:rFonts w:ascii="Verdana" w:hAnsi="Verdana" w:hint="default"/>
      </w:rPr>
    </w:lvl>
    <w:lvl w:ilvl="1" w:tplc="D026DAC6">
      <w:start w:val="1"/>
      <w:numFmt w:val="bullet"/>
      <w:lvlText w:val="◦"/>
      <w:lvlJc w:val="left"/>
      <w:pPr>
        <w:tabs>
          <w:tab w:val="num" w:pos="1440"/>
        </w:tabs>
        <w:ind w:left="1440" w:hanging="360"/>
      </w:pPr>
      <w:rPr>
        <w:rFonts w:ascii="Verdana" w:hAnsi="Verdana" w:hint="default"/>
      </w:rPr>
    </w:lvl>
    <w:lvl w:ilvl="2" w:tplc="72D265DA" w:tentative="1">
      <w:start w:val="1"/>
      <w:numFmt w:val="bullet"/>
      <w:lvlText w:val="◦"/>
      <w:lvlJc w:val="left"/>
      <w:pPr>
        <w:tabs>
          <w:tab w:val="num" w:pos="2160"/>
        </w:tabs>
        <w:ind w:left="2160" w:hanging="360"/>
      </w:pPr>
      <w:rPr>
        <w:rFonts w:ascii="Verdana" w:hAnsi="Verdana" w:hint="default"/>
      </w:rPr>
    </w:lvl>
    <w:lvl w:ilvl="3" w:tplc="DE9A487A" w:tentative="1">
      <w:start w:val="1"/>
      <w:numFmt w:val="bullet"/>
      <w:lvlText w:val="◦"/>
      <w:lvlJc w:val="left"/>
      <w:pPr>
        <w:tabs>
          <w:tab w:val="num" w:pos="2880"/>
        </w:tabs>
        <w:ind w:left="2880" w:hanging="360"/>
      </w:pPr>
      <w:rPr>
        <w:rFonts w:ascii="Verdana" w:hAnsi="Verdana" w:hint="default"/>
      </w:rPr>
    </w:lvl>
    <w:lvl w:ilvl="4" w:tplc="EF78857C" w:tentative="1">
      <w:start w:val="1"/>
      <w:numFmt w:val="bullet"/>
      <w:lvlText w:val="◦"/>
      <w:lvlJc w:val="left"/>
      <w:pPr>
        <w:tabs>
          <w:tab w:val="num" w:pos="3600"/>
        </w:tabs>
        <w:ind w:left="3600" w:hanging="360"/>
      </w:pPr>
      <w:rPr>
        <w:rFonts w:ascii="Verdana" w:hAnsi="Verdana" w:hint="default"/>
      </w:rPr>
    </w:lvl>
    <w:lvl w:ilvl="5" w:tplc="884443A2" w:tentative="1">
      <w:start w:val="1"/>
      <w:numFmt w:val="bullet"/>
      <w:lvlText w:val="◦"/>
      <w:lvlJc w:val="left"/>
      <w:pPr>
        <w:tabs>
          <w:tab w:val="num" w:pos="4320"/>
        </w:tabs>
        <w:ind w:left="4320" w:hanging="360"/>
      </w:pPr>
      <w:rPr>
        <w:rFonts w:ascii="Verdana" w:hAnsi="Verdana" w:hint="default"/>
      </w:rPr>
    </w:lvl>
    <w:lvl w:ilvl="6" w:tplc="F55C6FF0" w:tentative="1">
      <w:start w:val="1"/>
      <w:numFmt w:val="bullet"/>
      <w:lvlText w:val="◦"/>
      <w:lvlJc w:val="left"/>
      <w:pPr>
        <w:tabs>
          <w:tab w:val="num" w:pos="5040"/>
        </w:tabs>
        <w:ind w:left="5040" w:hanging="360"/>
      </w:pPr>
      <w:rPr>
        <w:rFonts w:ascii="Verdana" w:hAnsi="Verdana" w:hint="default"/>
      </w:rPr>
    </w:lvl>
    <w:lvl w:ilvl="7" w:tplc="CD0A95B0" w:tentative="1">
      <w:start w:val="1"/>
      <w:numFmt w:val="bullet"/>
      <w:lvlText w:val="◦"/>
      <w:lvlJc w:val="left"/>
      <w:pPr>
        <w:tabs>
          <w:tab w:val="num" w:pos="5760"/>
        </w:tabs>
        <w:ind w:left="5760" w:hanging="360"/>
      </w:pPr>
      <w:rPr>
        <w:rFonts w:ascii="Verdana" w:hAnsi="Verdana" w:hint="default"/>
      </w:rPr>
    </w:lvl>
    <w:lvl w:ilvl="8" w:tplc="0CE02E44"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42623"/>
    <w:multiLevelType w:val="hybridMultilevel"/>
    <w:tmpl w:val="80140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0629654">
    <w:abstractNumId w:val="1"/>
  </w:num>
  <w:num w:numId="2" w16cid:durableId="1793011868">
    <w:abstractNumId w:val="2"/>
  </w:num>
  <w:num w:numId="3" w16cid:durableId="646396682">
    <w:abstractNumId w:val="0"/>
  </w:num>
  <w:num w:numId="4" w16cid:durableId="279190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15EC2"/>
    <w:rsid w:val="000351C7"/>
    <w:rsid w:val="0003540F"/>
    <w:rsid w:val="00051223"/>
    <w:rsid w:val="00054E1E"/>
    <w:rsid w:val="00060E03"/>
    <w:rsid w:val="000960A6"/>
    <w:rsid w:val="000C1B23"/>
    <w:rsid w:val="000C60E2"/>
    <w:rsid w:val="00194610"/>
    <w:rsid w:val="00240A15"/>
    <w:rsid w:val="00262AF0"/>
    <w:rsid w:val="00271601"/>
    <w:rsid w:val="002C72E9"/>
    <w:rsid w:val="002D260E"/>
    <w:rsid w:val="003036E1"/>
    <w:rsid w:val="003248BD"/>
    <w:rsid w:val="003376F7"/>
    <w:rsid w:val="003E79F5"/>
    <w:rsid w:val="004121AB"/>
    <w:rsid w:val="004571A4"/>
    <w:rsid w:val="00460526"/>
    <w:rsid w:val="004A4FD3"/>
    <w:rsid w:val="0053075E"/>
    <w:rsid w:val="00557074"/>
    <w:rsid w:val="005742DB"/>
    <w:rsid w:val="005769AE"/>
    <w:rsid w:val="00686234"/>
    <w:rsid w:val="00692B49"/>
    <w:rsid w:val="006A0A03"/>
    <w:rsid w:val="006B6DDE"/>
    <w:rsid w:val="006F2F0A"/>
    <w:rsid w:val="00702E7A"/>
    <w:rsid w:val="007879D9"/>
    <w:rsid w:val="007A4040"/>
    <w:rsid w:val="007B0F52"/>
    <w:rsid w:val="00853A89"/>
    <w:rsid w:val="00853E38"/>
    <w:rsid w:val="008874DD"/>
    <w:rsid w:val="008C4A2C"/>
    <w:rsid w:val="00900273"/>
    <w:rsid w:val="0091471B"/>
    <w:rsid w:val="009B1F95"/>
    <w:rsid w:val="009B3041"/>
    <w:rsid w:val="009C65C2"/>
    <w:rsid w:val="009D34A9"/>
    <w:rsid w:val="009D572F"/>
    <w:rsid w:val="009E1A77"/>
    <w:rsid w:val="00A10538"/>
    <w:rsid w:val="00A153F2"/>
    <w:rsid w:val="00A262D0"/>
    <w:rsid w:val="00A72FE6"/>
    <w:rsid w:val="00AA656B"/>
    <w:rsid w:val="00AC74AD"/>
    <w:rsid w:val="00AE3DBE"/>
    <w:rsid w:val="00AE41E7"/>
    <w:rsid w:val="00AF2038"/>
    <w:rsid w:val="00B2025A"/>
    <w:rsid w:val="00B25E58"/>
    <w:rsid w:val="00B3117A"/>
    <w:rsid w:val="00B42790"/>
    <w:rsid w:val="00B52117"/>
    <w:rsid w:val="00B85973"/>
    <w:rsid w:val="00B95614"/>
    <w:rsid w:val="00BD062A"/>
    <w:rsid w:val="00BE1C0C"/>
    <w:rsid w:val="00C02B2A"/>
    <w:rsid w:val="00C234DD"/>
    <w:rsid w:val="00C37B6C"/>
    <w:rsid w:val="00C8017D"/>
    <w:rsid w:val="00C9654D"/>
    <w:rsid w:val="00CB3792"/>
    <w:rsid w:val="00CB5A1A"/>
    <w:rsid w:val="00CC7A33"/>
    <w:rsid w:val="00D441FD"/>
    <w:rsid w:val="00DA2EB0"/>
    <w:rsid w:val="00E16A07"/>
    <w:rsid w:val="00E17442"/>
    <w:rsid w:val="00E536DB"/>
    <w:rsid w:val="00EC568F"/>
    <w:rsid w:val="00ED5A80"/>
    <w:rsid w:val="00EE2475"/>
    <w:rsid w:val="00EE4503"/>
    <w:rsid w:val="00EF19E1"/>
    <w:rsid w:val="00EF1A5F"/>
    <w:rsid w:val="00EF4A48"/>
    <w:rsid w:val="00F328FC"/>
    <w:rsid w:val="00F525D1"/>
    <w:rsid w:val="00F7371B"/>
    <w:rsid w:val="00F7618C"/>
    <w:rsid w:val="00F81994"/>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2FE6"/>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 w:type="character" w:styleId="UnresolvedMention">
    <w:name w:val="Unresolved Mention"/>
    <w:basedOn w:val="DefaultParagraphFont"/>
    <w:uiPriority w:val="99"/>
    <w:semiHidden/>
    <w:unhideWhenUsed/>
    <w:rsid w:val="008C4A2C"/>
    <w:rPr>
      <w:color w:val="605E5C"/>
      <w:shd w:val="clear" w:color="auto" w:fill="E1DFDD"/>
    </w:rPr>
  </w:style>
  <w:style w:type="character" w:customStyle="1" w:styleId="Heading1Char">
    <w:name w:val="Heading 1 Char"/>
    <w:basedOn w:val="DefaultParagraphFont"/>
    <w:link w:val="Heading1"/>
    <w:uiPriority w:val="9"/>
    <w:rsid w:val="00A72FE6"/>
    <w:rPr>
      <w:rFonts w:ascii="Times New Roman" w:eastAsia="Times New Roman" w:hAnsi="Times New Roman" w:cs="Times New Roman"/>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432827475">
      <w:bodyDiv w:val="1"/>
      <w:marLeft w:val="0"/>
      <w:marRight w:val="0"/>
      <w:marTop w:val="0"/>
      <w:marBottom w:val="0"/>
      <w:divBdr>
        <w:top w:val="none" w:sz="0" w:space="0" w:color="auto"/>
        <w:left w:val="none" w:sz="0" w:space="0" w:color="auto"/>
        <w:bottom w:val="none" w:sz="0" w:space="0" w:color="auto"/>
        <w:right w:val="none" w:sz="0" w:space="0" w:color="auto"/>
      </w:divBdr>
    </w:div>
    <w:div w:id="1343900851">
      <w:bodyDiv w:val="1"/>
      <w:marLeft w:val="0"/>
      <w:marRight w:val="0"/>
      <w:marTop w:val="0"/>
      <w:marBottom w:val="0"/>
      <w:divBdr>
        <w:top w:val="none" w:sz="0" w:space="0" w:color="auto"/>
        <w:left w:val="none" w:sz="0" w:space="0" w:color="auto"/>
        <w:bottom w:val="none" w:sz="0" w:space="0" w:color="auto"/>
        <w:right w:val="none" w:sz="0" w:space="0" w:color="auto"/>
      </w:divBdr>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1812360129">
      <w:bodyDiv w:val="1"/>
      <w:marLeft w:val="0"/>
      <w:marRight w:val="0"/>
      <w:marTop w:val="0"/>
      <w:marBottom w:val="0"/>
      <w:divBdr>
        <w:top w:val="none" w:sz="0" w:space="0" w:color="auto"/>
        <w:left w:val="none" w:sz="0" w:space="0" w:color="auto"/>
        <w:bottom w:val="none" w:sz="0" w:space="0" w:color="auto"/>
        <w:right w:val="none" w:sz="0" w:space="0" w:color="auto"/>
      </w:divBdr>
      <w:divsChild>
        <w:div w:id="719092302">
          <w:marLeft w:val="1008"/>
          <w:marRight w:val="0"/>
          <w:marTop w:val="110"/>
          <w:marBottom w:val="0"/>
          <w:divBdr>
            <w:top w:val="none" w:sz="0" w:space="0" w:color="auto"/>
            <w:left w:val="none" w:sz="0" w:space="0" w:color="auto"/>
            <w:bottom w:val="none" w:sz="0" w:space="0" w:color="auto"/>
            <w:right w:val="none" w:sz="0" w:space="0" w:color="auto"/>
          </w:divBdr>
        </w:div>
        <w:div w:id="522715881">
          <w:marLeft w:val="1008"/>
          <w:marRight w:val="0"/>
          <w:marTop w:val="110"/>
          <w:marBottom w:val="0"/>
          <w:divBdr>
            <w:top w:val="none" w:sz="0" w:space="0" w:color="auto"/>
            <w:left w:val="none" w:sz="0" w:space="0" w:color="auto"/>
            <w:bottom w:val="none" w:sz="0" w:space="0" w:color="auto"/>
            <w:right w:val="none" w:sz="0" w:space="0" w:color="auto"/>
          </w:divBdr>
        </w:div>
        <w:div w:id="595096820">
          <w:marLeft w:val="1008"/>
          <w:marRight w:val="0"/>
          <w:marTop w:val="110"/>
          <w:marBottom w:val="0"/>
          <w:divBdr>
            <w:top w:val="none" w:sz="0" w:space="0" w:color="auto"/>
            <w:left w:val="none" w:sz="0" w:space="0" w:color="auto"/>
            <w:bottom w:val="none" w:sz="0" w:space="0" w:color="auto"/>
            <w:right w:val="none" w:sz="0" w:space="0" w:color="auto"/>
          </w:divBdr>
        </w:div>
        <w:div w:id="7827664">
          <w:marLeft w:val="1008"/>
          <w:marRight w:val="0"/>
          <w:marTop w:val="110"/>
          <w:marBottom w:val="0"/>
          <w:divBdr>
            <w:top w:val="none" w:sz="0" w:space="0" w:color="auto"/>
            <w:left w:val="none" w:sz="0" w:space="0" w:color="auto"/>
            <w:bottom w:val="none" w:sz="0" w:space="0" w:color="auto"/>
            <w:right w:val="none" w:sz="0" w:space="0" w:color="auto"/>
          </w:divBdr>
        </w:div>
        <w:div w:id="1820265627">
          <w:marLeft w:val="1008"/>
          <w:marRight w:val="0"/>
          <w:marTop w:val="110"/>
          <w:marBottom w:val="0"/>
          <w:divBdr>
            <w:top w:val="none" w:sz="0" w:space="0" w:color="auto"/>
            <w:left w:val="none" w:sz="0" w:space="0" w:color="auto"/>
            <w:bottom w:val="none" w:sz="0" w:space="0" w:color="auto"/>
            <w:right w:val="none" w:sz="0" w:space="0" w:color="auto"/>
          </w:divBdr>
        </w:div>
        <w:div w:id="591083016">
          <w:marLeft w:val="1008"/>
          <w:marRight w:val="0"/>
          <w:marTop w:val="11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l.indiana.edu/teaching-resources/assessing-student-learning/authentic-assessment/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yu.edu/provost/assessment/" TargetMode="External"/><Relationship Id="rId4" Type="http://schemas.openxmlformats.org/officeDocument/2006/relationships/settings" Target="settings.xml"/><Relationship Id="rId9" Type="http://schemas.openxmlformats.org/officeDocument/2006/relationships/hyperlink" Target="https://ctl.wiley.com/authentic-assessment-in-the-online-classro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2614C-AE4E-48BB-BAF8-88D63795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 Ebner</cp:lastModifiedBy>
  <cp:revision>16</cp:revision>
  <dcterms:created xsi:type="dcterms:W3CDTF">2019-05-13T16:58:00Z</dcterms:created>
  <dcterms:modified xsi:type="dcterms:W3CDTF">2022-04-21T01:12:00Z</dcterms:modified>
</cp:coreProperties>
</file>